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C1B0E" w14:textId="406E894B" w:rsidR="00306FA9" w:rsidRDefault="00171665" w:rsidP="00171665">
      <w:pPr>
        <w:jc w:val="center"/>
        <w:rPr>
          <w:sz w:val="24"/>
          <w:szCs w:val="24"/>
        </w:rPr>
      </w:pPr>
      <w:r>
        <w:rPr>
          <w:b/>
          <w:bCs/>
          <w:sz w:val="24"/>
          <w:szCs w:val="24"/>
          <w:u w:val="single"/>
        </w:rPr>
        <w:t>Business Law Assignment</w:t>
      </w:r>
    </w:p>
    <w:p w14:paraId="6B95DA6F" w14:textId="6EE9CC82" w:rsidR="00171665" w:rsidRDefault="00171665" w:rsidP="00171665"/>
    <w:p w14:paraId="1A577E8E" w14:textId="26A10463" w:rsidR="00171665" w:rsidRPr="004C10B7" w:rsidRDefault="00745490" w:rsidP="00171665">
      <w:pPr>
        <w:rPr>
          <w:b/>
          <w:bCs/>
          <w:sz w:val="24"/>
          <w:szCs w:val="24"/>
        </w:rPr>
      </w:pPr>
      <w:r w:rsidRPr="004C10B7">
        <w:rPr>
          <w:b/>
          <w:bCs/>
          <w:sz w:val="24"/>
          <w:szCs w:val="24"/>
        </w:rPr>
        <w:t>The Influence of the European Union on Irish Employment Law</w:t>
      </w:r>
    </w:p>
    <w:p w14:paraId="540CBE98" w14:textId="0AFA1335" w:rsidR="00745490" w:rsidRDefault="00745490" w:rsidP="00171665">
      <w:r>
        <w:t xml:space="preserve">Since joining the European Union in 1973, Ireland’s labour laws have drastically changed to fit the </w:t>
      </w:r>
      <w:r w:rsidR="0035167E">
        <w:t xml:space="preserve">equal and equitable values of the European Union and its workforce. These changes include changes to the recruitment of workers, </w:t>
      </w:r>
      <w:r w:rsidR="00A14A3A">
        <w:t>termination of employment</w:t>
      </w:r>
      <w:r w:rsidR="0035167E">
        <w:t>, health and safety and leave entitlements.</w:t>
      </w:r>
    </w:p>
    <w:p w14:paraId="7A7880FE" w14:textId="4A4D88C6" w:rsidR="0035167E" w:rsidRPr="004C10B7" w:rsidRDefault="0035167E" w:rsidP="00171665">
      <w:pPr>
        <w:rPr>
          <w:b/>
          <w:bCs/>
          <w:sz w:val="24"/>
          <w:szCs w:val="24"/>
        </w:rPr>
      </w:pPr>
      <w:r w:rsidRPr="004C10B7">
        <w:rPr>
          <w:b/>
          <w:bCs/>
          <w:sz w:val="24"/>
          <w:szCs w:val="24"/>
        </w:rPr>
        <w:t>Recruitment</w:t>
      </w:r>
    </w:p>
    <w:p w14:paraId="2C3778F2" w14:textId="3A8ECE93" w:rsidR="00A14A3A" w:rsidRDefault="0035167E" w:rsidP="00171665">
      <w:r>
        <w:t xml:space="preserve">The </w:t>
      </w:r>
      <w:r w:rsidRPr="004C10B7">
        <w:rPr>
          <w:b/>
          <w:bCs/>
        </w:rPr>
        <w:t xml:space="preserve">Employment Equality Acts 1998-2007 </w:t>
      </w:r>
      <w:r>
        <w:t xml:space="preserve">transposed the </w:t>
      </w:r>
      <w:r w:rsidRPr="004C10B7">
        <w:rPr>
          <w:u w:val="single"/>
        </w:rPr>
        <w:t>EU Directive 2000/78</w:t>
      </w:r>
      <w:r w:rsidR="004C10B7" w:rsidRPr="004C10B7">
        <w:rPr>
          <w:u w:val="single"/>
        </w:rPr>
        <w:t>/</w:t>
      </w:r>
      <w:r w:rsidRPr="004C10B7">
        <w:rPr>
          <w:u w:val="single"/>
        </w:rPr>
        <w:t>EC</w:t>
      </w:r>
      <w:r w:rsidR="00A14A3A">
        <w:t xml:space="preserve"> into Irish Law. This legislation outlawed discrimination in employment based on any of the following nine grounds: Age, Gender, Marital Status, Family Status, Disability, Race, Sexual Orientation, Religious belief, Membership of the Travelling Community. These Acts covered all phases of the employment process, from advertisement, selection criteria, conduct of the interview through to the final selection decision. </w:t>
      </w:r>
    </w:p>
    <w:p w14:paraId="6C60821D" w14:textId="200490D3" w:rsidR="00534F8C" w:rsidRPr="004C10B7" w:rsidRDefault="00534F8C" w:rsidP="00171665">
      <w:pPr>
        <w:rPr>
          <w:b/>
          <w:bCs/>
          <w:sz w:val="24"/>
          <w:szCs w:val="24"/>
        </w:rPr>
      </w:pPr>
      <w:r w:rsidRPr="004C10B7">
        <w:rPr>
          <w:b/>
          <w:bCs/>
          <w:sz w:val="24"/>
          <w:szCs w:val="24"/>
        </w:rPr>
        <w:t>Termination of Employment</w:t>
      </w:r>
    </w:p>
    <w:p w14:paraId="6A34A1C0" w14:textId="4806BEFC" w:rsidR="00534F8C" w:rsidRDefault="00534F8C" w:rsidP="00171665">
      <w:r>
        <w:t xml:space="preserve">Redundancies and termination of employment are </w:t>
      </w:r>
      <w:r w:rsidR="008E7FA9">
        <w:t xml:space="preserve">covered by </w:t>
      </w:r>
      <w:r w:rsidR="008E7FA9" w:rsidRPr="004C10B7">
        <w:rPr>
          <w:u w:val="single"/>
        </w:rPr>
        <w:t>EU Directive 1998/59/EC</w:t>
      </w:r>
      <w:r w:rsidR="008E7FA9">
        <w:t xml:space="preserve">, and in turn covered in Irish law under the </w:t>
      </w:r>
      <w:r w:rsidR="008E7FA9" w:rsidRPr="004C10B7">
        <w:rPr>
          <w:b/>
          <w:bCs/>
        </w:rPr>
        <w:t>Unfair Dismissals Acts 1977-2007</w:t>
      </w:r>
      <w:r w:rsidR="008E7FA9">
        <w:t xml:space="preserve">. It follows the same equitable values as the </w:t>
      </w:r>
      <w:r w:rsidR="008E7FA9" w:rsidRPr="004C10B7">
        <w:rPr>
          <w:b/>
          <w:bCs/>
        </w:rPr>
        <w:t>Employment Equality Acts 1998-2007</w:t>
      </w:r>
      <w:r w:rsidR="008E7FA9">
        <w:t xml:space="preserve"> and redundancy is considered automatically unfair if </w:t>
      </w:r>
      <w:r w:rsidR="00AD0406">
        <w:t xml:space="preserve">based on any of the grounds seen above. In order to justify dismissal, the employer must show it was connected to one or more of the six potentially fair grounds: </w:t>
      </w:r>
    </w:p>
    <w:p w14:paraId="45D9ABC7" w14:textId="09CC675B" w:rsidR="00AD0406" w:rsidRDefault="00AD0406" w:rsidP="00AD0406">
      <w:pPr>
        <w:pStyle w:val="ListParagraph"/>
        <w:numPr>
          <w:ilvl w:val="0"/>
          <w:numId w:val="1"/>
        </w:numPr>
      </w:pPr>
      <w:r w:rsidRPr="00AD0406">
        <w:rPr>
          <w:b/>
          <w:bCs/>
        </w:rPr>
        <w:t>Capability</w:t>
      </w:r>
      <w:r>
        <w:t xml:space="preserve"> e.g. lateness, absenteeism etc.</w:t>
      </w:r>
    </w:p>
    <w:p w14:paraId="01A5B58D" w14:textId="3DE60F91" w:rsidR="00AD0406" w:rsidRPr="00AD0406" w:rsidRDefault="00AD0406" w:rsidP="00AD0406">
      <w:pPr>
        <w:pStyle w:val="ListParagraph"/>
        <w:numPr>
          <w:ilvl w:val="0"/>
          <w:numId w:val="1"/>
        </w:numPr>
      </w:pPr>
      <w:r>
        <w:rPr>
          <w:b/>
          <w:bCs/>
        </w:rPr>
        <w:t>Competence</w:t>
      </w:r>
    </w:p>
    <w:p w14:paraId="491FDEED" w14:textId="719992C1" w:rsidR="00AD0406" w:rsidRPr="00AD0406" w:rsidRDefault="00AD0406" w:rsidP="00AD0406">
      <w:pPr>
        <w:pStyle w:val="ListParagraph"/>
        <w:numPr>
          <w:ilvl w:val="0"/>
          <w:numId w:val="1"/>
        </w:numPr>
      </w:pPr>
      <w:r>
        <w:rPr>
          <w:b/>
          <w:bCs/>
        </w:rPr>
        <w:t>Qualification</w:t>
      </w:r>
    </w:p>
    <w:p w14:paraId="2B9FECF3" w14:textId="21DD17DD" w:rsidR="00AD0406" w:rsidRPr="00AD0406" w:rsidRDefault="00AD0406" w:rsidP="00AD0406">
      <w:pPr>
        <w:pStyle w:val="ListParagraph"/>
        <w:numPr>
          <w:ilvl w:val="0"/>
          <w:numId w:val="1"/>
        </w:numPr>
      </w:pPr>
      <w:r>
        <w:rPr>
          <w:b/>
          <w:bCs/>
        </w:rPr>
        <w:t>Conduct/Gross Misconduct</w:t>
      </w:r>
    </w:p>
    <w:p w14:paraId="39E92AF7" w14:textId="5FF2DB50" w:rsidR="00AD0406" w:rsidRPr="00AD0406" w:rsidRDefault="00AD0406" w:rsidP="00AD0406">
      <w:pPr>
        <w:pStyle w:val="ListParagraph"/>
        <w:numPr>
          <w:ilvl w:val="0"/>
          <w:numId w:val="1"/>
        </w:numPr>
      </w:pPr>
      <w:r>
        <w:rPr>
          <w:b/>
          <w:bCs/>
        </w:rPr>
        <w:t>Redundancy</w:t>
      </w:r>
    </w:p>
    <w:p w14:paraId="02D47B56" w14:textId="226B2193" w:rsidR="00AD0406" w:rsidRPr="00AD0406" w:rsidRDefault="00AD0406" w:rsidP="00AD0406">
      <w:pPr>
        <w:pStyle w:val="ListParagraph"/>
        <w:numPr>
          <w:ilvl w:val="0"/>
          <w:numId w:val="1"/>
        </w:numPr>
      </w:pPr>
      <w:r>
        <w:rPr>
          <w:b/>
          <w:bCs/>
        </w:rPr>
        <w:t>Contravening the Law</w:t>
      </w:r>
    </w:p>
    <w:p w14:paraId="02F3D28E" w14:textId="15B94300" w:rsidR="00AD0406" w:rsidRPr="004C10B7" w:rsidRDefault="00AD0406" w:rsidP="00AD0406">
      <w:pPr>
        <w:rPr>
          <w:b/>
          <w:bCs/>
          <w:sz w:val="24"/>
          <w:szCs w:val="24"/>
        </w:rPr>
      </w:pPr>
      <w:r w:rsidRPr="004C10B7">
        <w:rPr>
          <w:b/>
          <w:bCs/>
          <w:sz w:val="24"/>
          <w:szCs w:val="24"/>
        </w:rPr>
        <w:t>Health and Safety in the Workplace</w:t>
      </w:r>
    </w:p>
    <w:p w14:paraId="7F4C218D" w14:textId="7741864D" w:rsidR="00AD0406" w:rsidRDefault="003C77EE" w:rsidP="00AD0406">
      <w:r w:rsidRPr="004C10B7">
        <w:rPr>
          <w:b/>
          <w:bCs/>
        </w:rPr>
        <w:t>The Single European Act 1987</w:t>
      </w:r>
      <w:r>
        <w:t xml:space="preserve"> was a major step forward in that introduced </w:t>
      </w:r>
      <w:r w:rsidRPr="003C77EE">
        <w:t>a new legal provision on social policy to the Treaty aiming for ‘improvements, especially in the working environment, as regards the health and safety of workers’</w:t>
      </w:r>
      <w:r>
        <w:t xml:space="preserve">. </w:t>
      </w:r>
      <w:r w:rsidRPr="004C10B7">
        <w:rPr>
          <w:b/>
          <w:bCs/>
        </w:rPr>
        <w:t>The Treaty of Amsterdam in 1997</w:t>
      </w:r>
      <w:r>
        <w:t xml:space="preserve"> further strengthened the </w:t>
      </w:r>
      <w:r w:rsidR="00AD4379">
        <w:t>safety</w:t>
      </w:r>
      <w:r>
        <w:t xml:space="preserve"> of workers in European Member states.</w:t>
      </w:r>
    </w:p>
    <w:p w14:paraId="27CA3674" w14:textId="5F4E694D" w:rsidR="00AD4379" w:rsidRDefault="00AD4379" w:rsidP="00AD0406">
      <w:r>
        <w:t>Employers now have a duty to ensure the employees’ safety health and welfare at work by providing a safe environment and preventing risks to safety, which is covered by the Safety, Health and Welfare Act 2005 in Irish Law.</w:t>
      </w:r>
    </w:p>
    <w:p w14:paraId="50558D0F" w14:textId="235071A1" w:rsidR="00AD4379" w:rsidRPr="004C10B7" w:rsidRDefault="00AD4379" w:rsidP="00AD0406">
      <w:pPr>
        <w:rPr>
          <w:b/>
          <w:bCs/>
          <w:sz w:val="24"/>
          <w:szCs w:val="24"/>
        </w:rPr>
      </w:pPr>
      <w:r w:rsidRPr="004C10B7">
        <w:rPr>
          <w:b/>
          <w:bCs/>
          <w:sz w:val="24"/>
          <w:szCs w:val="24"/>
        </w:rPr>
        <w:t>Leave Entitlements</w:t>
      </w:r>
    </w:p>
    <w:p w14:paraId="6023FA83" w14:textId="3CB0CA68" w:rsidR="00AD4379" w:rsidRDefault="00AD4379" w:rsidP="00AD0406">
      <w:r>
        <w:t xml:space="preserve">Under </w:t>
      </w:r>
      <w:r w:rsidRPr="004C10B7">
        <w:rPr>
          <w:u w:val="single"/>
        </w:rPr>
        <w:t>Directive 93/104/EC</w:t>
      </w:r>
      <w:r>
        <w:t>, implemented into Irish Law by the Organisation of Working Time Act 1997, employers must provide all full-time employees with a basic annual paid leave of four weeks.</w:t>
      </w:r>
      <w:r w:rsidR="008A16B0">
        <w:t xml:space="preserve"> Maternity leave is covered also. Female employees are entitled</w:t>
      </w:r>
      <w:r w:rsidR="00631DB1">
        <w:t xml:space="preserve"> to 26 weeks’ maternity leave irrespective of how long they have worked for their emp</w:t>
      </w:r>
      <w:r w:rsidR="004C10B7">
        <w:t xml:space="preserve">loyer. </w:t>
      </w:r>
      <w:r w:rsidR="004C10B7" w:rsidRPr="004C10B7">
        <w:rPr>
          <w:u w:val="single"/>
        </w:rPr>
        <w:t>Directive 96/34/EC</w:t>
      </w:r>
      <w:r w:rsidR="004C10B7">
        <w:t xml:space="preserve"> also lays down equal rights for men and women to unpaid parental leave on the grounds of a birth or adoption of a child.</w:t>
      </w:r>
      <w:r w:rsidR="008A16B0">
        <w:t xml:space="preserve"> </w:t>
      </w:r>
    </w:p>
    <w:p w14:paraId="6551BC90" w14:textId="0BBBD6C7" w:rsidR="008B4F30" w:rsidRDefault="008B4F30" w:rsidP="00AD0406"/>
    <w:p w14:paraId="402B4A70" w14:textId="6E772BDA" w:rsidR="008B4F30" w:rsidRDefault="00DE0CF5" w:rsidP="00AD0406">
      <w:pPr>
        <w:rPr>
          <w:b/>
          <w:bCs/>
        </w:rPr>
      </w:pPr>
      <w:r>
        <w:rPr>
          <w:b/>
          <w:bCs/>
        </w:rPr>
        <w:t>Advise Fiona and Joseph on what Actions to Take</w:t>
      </w:r>
    </w:p>
    <w:p w14:paraId="4B11F878" w14:textId="34A6BD4E" w:rsidR="00DE0CF5" w:rsidRPr="00DE0CF5" w:rsidRDefault="005610E5" w:rsidP="00AD0406">
      <w:r>
        <w:t xml:space="preserve">Joseph’s case is complex as the disciplinary procedures taken were an overreaction on the employer’s part, as a clear warning or informal conversation were never mentioned before they took disciplinary action against the accused. </w:t>
      </w:r>
    </w:p>
    <w:p w14:paraId="1B84F065" w14:textId="6C0BED66" w:rsidR="0035167E" w:rsidRDefault="00A14A3A" w:rsidP="008B4F30">
      <w:pPr>
        <w:spacing w:before="240"/>
      </w:pPr>
      <w:r>
        <w:t xml:space="preserve"> </w:t>
      </w:r>
      <w:r w:rsidR="00544359">
        <w:t xml:space="preserve">Joseph was accused of breaching the company’s: </w:t>
      </w:r>
      <w:r w:rsidR="00544359" w:rsidRPr="00544359">
        <w:rPr>
          <w:i/>
          <w:iCs/>
        </w:rPr>
        <w:t xml:space="preserve">Uniform Policy, Break Policy, Leave Policy and Dignity at Work policy by being abusive to </w:t>
      </w:r>
      <w:r w:rsidR="00544359">
        <w:rPr>
          <w:i/>
          <w:iCs/>
        </w:rPr>
        <w:t>M</w:t>
      </w:r>
      <w:r w:rsidR="00544359" w:rsidRPr="00544359">
        <w:rPr>
          <w:i/>
          <w:iCs/>
        </w:rPr>
        <w:t xml:space="preserve">anagement </w:t>
      </w:r>
      <w:r w:rsidR="00544359">
        <w:rPr>
          <w:i/>
          <w:iCs/>
        </w:rPr>
        <w:t>S</w:t>
      </w:r>
      <w:r w:rsidR="00544359" w:rsidRPr="00544359">
        <w:rPr>
          <w:i/>
          <w:iCs/>
        </w:rPr>
        <w:t>taff</w:t>
      </w:r>
      <w:r w:rsidR="00544359">
        <w:t xml:space="preserve">. Before the hearing, the accused was not presented with any detail/evidences on the charges. Joseph was allowed to bring a witness/counsel into the hearing, which was held on the shop floor, but the representative was not allowed to participate in the actual hearing. </w:t>
      </w:r>
      <w:r w:rsidR="00544359" w:rsidRPr="00B01CE5">
        <w:rPr>
          <w:b/>
          <w:bCs/>
        </w:rPr>
        <w:t>Item Four</w:t>
      </w:r>
      <w:r w:rsidR="00544359">
        <w:t xml:space="preserve"> was withdrawn without giving Joseph any chance to hear evidence or explain his case. </w:t>
      </w:r>
      <w:r w:rsidR="00544359" w:rsidRPr="00B01CE5">
        <w:rPr>
          <w:b/>
          <w:bCs/>
        </w:rPr>
        <w:t>Item Three</w:t>
      </w:r>
      <w:r w:rsidR="00544359">
        <w:t xml:space="preserve">, the breach to the Leave Policy was explained, with Joseph giving 24 </w:t>
      </w:r>
      <w:r w:rsidR="00B01CE5">
        <w:t>hours’ notice</w:t>
      </w:r>
      <w:r w:rsidR="00544359">
        <w:t xml:space="preserve"> of the emergency absence, which was understood by</w:t>
      </w:r>
      <w:r w:rsidR="00B01CE5">
        <w:t xml:space="preserve"> management at the time of the incident. Joseph also had evidence of trying to resolve the breach of </w:t>
      </w:r>
      <w:r w:rsidR="00B01CE5">
        <w:rPr>
          <w:b/>
          <w:bCs/>
        </w:rPr>
        <w:t>Item One</w:t>
      </w:r>
      <w:r w:rsidR="00B01CE5">
        <w:t xml:space="preserve">, with numerous emails asking for new uniform, as his own uniform had been ruined by a duty required by the company, which was not identified in his contract. </w:t>
      </w:r>
    </w:p>
    <w:p w14:paraId="0EEF50F8" w14:textId="5FED350A" w:rsidR="00B01CE5" w:rsidRDefault="00B01CE5" w:rsidP="008B4F30">
      <w:pPr>
        <w:spacing w:before="240"/>
      </w:pPr>
      <w:r>
        <w:t xml:space="preserve">If the company are planning on dismissing the accused, they must follow all principles set out in </w:t>
      </w:r>
      <w:r w:rsidRPr="00B01CE5">
        <w:rPr>
          <w:i/>
          <w:iCs/>
        </w:rPr>
        <w:t>statutory instrument 146/2000, Industrial Relations Act, 1990 (Code of Practice on Grievance and Disciplinary Procedures) (Declaration) Order, 2000</w:t>
      </w:r>
      <w:r w:rsidRPr="00B01CE5">
        <w:t>.</w:t>
      </w:r>
      <w:r>
        <w:t xml:space="preserve"> When considering a dismissal, six steps must be taken to make sure the dismissal is seen as </w:t>
      </w:r>
      <w:r>
        <w:rPr>
          <w:b/>
          <w:bCs/>
        </w:rPr>
        <w:t>Fair Practice</w:t>
      </w:r>
      <w:r>
        <w:t xml:space="preserve">. </w:t>
      </w:r>
      <w:sdt>
        <w:sdtPr>
          <w:rPr>
            <w:i/>
            <w:iCs/>
          </w:rPr>
          <w:id w:val="-903372860"/>
          <w:citation/>
        </w:sdtPr>
        <w:sdtEndPr/>
        <w:sdtContent>
          <w:r w:rsidR="005E0BDB" w:rsidRPr="005E0BDB">
            <w:rPr>
              <w:i/>
              <w:iCs/>
            </w:rPr>
            <w:fldChar w:fldCharType="begin"/>
          </w:r>
          <w:r w:rsidR="005E0BDB" w:rsidRPr="005E0BDB">
            <w:rPr>
              <w:i/>
              <w:iCs/>
            </w:rPr>
            <w:instrText xml:space="preserve"> CITATION FairPra \l 2057 </w:instrText>
          </w:r>
          <w:r w:rsidR="005E0BDB" w:rsidRPr="005E0BDB">
            <w:rPr>
              <w:i/>
              <w:iCs/>
            </w:rPr>
            <w:fldChar w:fldCharType="separate"/>
          </w:r>
          <w:r w:rsidR="005E0BDB" w:rsidRPr="005E0BDB">
            <w:rPr>
              <w:i/>
              <w:iCs/>
              <w:noProof/>
            </w:rPr>
            <w:t>(employementrightsireland.com, 2015)</w:t>
          </w:r>
          <w:r w:rsidR="005E0BDB" w:rsidRPr="005E0BDB">
            <w:rPr>
              <w:i/>
              <w:iCs/>
            </w:rPr>
            <w:fldChar w:fldCharType="end"/>
          </w:r>
        </w:sdtContent>
      </w:sdt>
    </w:p>
    <w:p w14:paraId="032E28A2" w14:textId="2FFF015A" w:rsidR="00B01CE5" w:rsidRDefault="00B01CE5" w:rsidP="00B01CE5">
      <w:pPr>
        <w:pStyle w:val="ListParagraph"/>
        <w:numPr>
          <w:ilvl w:val="0"/>
          <w:numId w:val="1"/>
        </w:numPr>
        <w:spacing w:before="240"/>
      </w:pPr>
      <w:r>
        <w:t xml:space="preserve">The </w:t>
      </w:r>
      <w:r w:rsidR="00EC2B2E">
        <w:t>employer</w:t>
      </w:r>
      <w:r>
        <w:t xml:space="preserve"> should write to the employee inviting her to a formal disc</w:t>
      </w:r>
      <w:r w:rsidR="00EC2B2E">
        <w:t>iplinary meeting, which was done in Joseph’s case.</w:t>
      </w:r>
    </w:p>
    <w:p w14:paraId="75909317" w14:textId="0F623397" w:rsidR="00EC2B2E" w:rsidRDefault="00EC2B2E" w:rsidP="00B01CE5">
      <w:pPr>
        <w:pStyle w:val="ListParagraph"/>
        <w:numPr>
          <w:ilvl w:val="0"/>
          <w:numId w:val="1"/>
        </w:numPr>
        <w:spacing w:before="240"/>
      </w:pPr>
      <w:r>
        <w:t>The employee has a right to representation in the meeting, which can be included in the hearing with the employee. The accused representative was not allowed to participate in the hearing, and was only there as a witness, therefore breaching this policy.</w:t>
      </w:r>
    </w:p>
    <w:p w14:paraId="07EE69D1" w14:textId="65DB5154" w:rsidR="00EC2B2E" w:rsidRDefault="00EC2B2E" w:rsidP="00EC2B2E">
      <w:pPr>
        <w:pStyle w:val="ListParagraph"/>
        <w:numPr>
          <w:ilvl w:val="0"/>
          <w:numId w:val="1"/>
        </w:numPr>
        <w:spacing w:before="240"/>
      </w:pPr>
      <w:r w:rsidRPr="00EC2B2E">
        <w:t>The employee should be given the opportunity to respond fully to all allegations/complaints and have his responses fully considered before a decision to dismiss</w:t>
      </w:r>
      <w:r>
        <w:t xml:space="preserve">, unlike what happened with Joseph. The company dismissed </w:t>
      </w:r>
      <w:r>
        <w:rPr>
          <w:b/>
          <w:bCs/>
        </w:rPr>
        <w:t>Item Four</w:t>
      </w:r>
      <w:r>
        <w:t xml:space="preserve"> without giving the accused an opportunity to hear the evidence and respond to the breach of company policy.</w:t>
      </w:r>
    </w:p>
    <w:p w14:paraId="2921F694" w14:textId="009A3BA2" w:rsidR="00EC2B2E" w:rsidRPr="005E0BDB" w:rsidRDefault="00EC2B2E" w:rsidP="00EC2B2E">
      <w:pPr>
        <w:pStyle w:val="ListParagraph"/>
        <w:numPr>
          <w:ilvl w:val="0"/>
          <w:numId w:val="1"/>
        </w:numPr>
        <w:rPr>
          <w:rFonts w:cstheme="minorHAnsi"/>
        </w:rPr>
      </w:pPr>
      <w:r w:rsidRPr="00EC2B2E">
        <w:t>The employee should be given a bias free hearing with no pre-determining of the outcome.</w:t>
      </w:r>
      <w:r>
        <w:t xml:space="preserve"> The accused’s hearing was not exempt from bias, leading to an unfair trial. The Irish constitution does not explicitly state but is implicit in the requirement of Article 31.1 which states “</w:t>
      </w:r>
      <w:r>
        <w:rPr>
          <w:i/>
          <w:iCs/>
        </w:rPr>
        <w:t>no person shall be tried on any criminal charge save in due course of law”</w:t>
      </w:r>
      <w:r>
        <w:t xml:space="preserve">. In Joseph’s case, he was not presumed guilty before </w:t>
      </w:r>
      <w:r w:rsidR="000A464D">
        <w:t>the breach of policy was brought against him, meaning he didn’t have a fair trial.</w:t>
      </w:r>
      <w:r w:rsidR="00C941D9">
        <w:t xml:space="preserve"> </w:t>
      </w:r>
      <w:r w:rsidR="00C941D9" w:rsidRPr="005E0BDB">
        <w:rPr>
          <w:rFonts w:cstheme="minorHAnsi"/>
          <w:i/>
          <w:iCs/>
          <w:color w:val="000000"/>
          <w:shd w:val="clear" w:color="auto" w:fill="FFFFFF"/>
        </w:rPr>
        <w:t>(Bunreacht na hÉireann</w:t>
      </w:r>
      <w:r w:rsidR="005E0BDB" w:rsidRPr="005E0BDB">
        <w:rPr>
          <w:rFonts w:cstheme="minorHAnsi"/>
          <w:i/>
          <w:iCs/>
          <w:color w:val="000000"/>
          <w:shd w:val="clear" w:color="auto" w:fill="FFFFFF"/>
        </w:rPr>
        <w:t>,1937</w:t>
      </w:r>
      <w:r w:rsidR="00C941D9" w:rsidRPr="005E0BDB">
        <w:rPr>
          <w:rFonts w:cstheme="minorHAnsi"/>
          <w:i/>
          <w:iCs/>
          <w:color w:val="000000"/>
          <w:shd w:val="clear" w:color="auto" w:fill="FFFFFF"/>
        </w:rPr>
        <w:t>)</w:t>
      </w:r>
    </w:p>
    <w:p w14:paraId="4793375C" w14:textId="2A929C4F" w:rsidR="000A464D" w:rsidRDefault="000A464D" w:rsidP="00EC2B2E">
      <w:pPr>
        <w:pStyle w:val="ListParagraph"/>
        <w:numPr>
          <w:ilvl w:val="0"/>
          <w:numId w:val="1"/>
        </w:numPr>
      </w:pPr>
      <w:r w:rsidRPr="000A464D">
        <w:t>Any penalty imposed must be a proportionate response to the alleged wrongdoing or issue.</w:t>
      </w:r>
      <w:r>
        <w:t xml:space="preserve"> The company advised him that he would be informed of the outcome in the following days, so it is not clear whether the accused will face any disciplinary action.</w:t>
      </w:r>
    </w:p>
    <w:p w14:paraId="55835AE4" w14:textId="3C30EF2B" w:rsidR="000A464D" w:rsidRDefault="000A464D" w:rsidP="00EC2B2E">
      <w:pPr>
        <w:pStyle w:val="ListParagraph"/>
        <w:numPr>
          <w:ilvl w:val="0"/>
          <w:numId w:val="1"/>
        </w:numPr>
      </w:pPr>
      <w:r w:rsidRPr="000A464D">
        <w:t>The employee should be given the right to appeal a decision to terminate his employment.</w:t>
      </w:r>
      <w:r>
        <w:t xml:space="preserve"> Joseph believes his employment will be terminated, but it is not clear from the scenario. </w:t>
      </w:r>
    </w:p>
    <w:p w14:paraId="2BDDF046" w14:textId="77777777" w:rsidR="00C941D9" w:rsidRDefault="000A464D" w:rsidP="000A464D">
      <w:pPr>
        <w:ind w:left="360"/>
      </w:pPr>
      <w:r>
        <w:t xml:space="preserve">If the company decides to terminate Joseph’s employment, they will breach </w:t>
      </w:r>
      <w:r w:rsidRPr="000A464D">
        <w:rPr>
          <w:b/>
          <w:bCs/>
        </w:rPr>
        <w:t>Clause 6</w:t>
      </w:r>
      <w:r>
        <w:t xml:space="preserve"> of the </w:t>
      </w:r>
      <w:r w:rsidRPr="000A464D">
        <w:rPr>
          <w:b/>
          <w:bCs/>
        </w:rPr>
        <w:t>Unfair Dismissals Acts, 1977–2007</w:t>
      </w:r>
      <w:r>
        <w:t>.</w:t>
      </w:r>
      <w:r w:rsidR="00C941D9">
        <w:t xml:space="preserve"> Firstly, Joseph should exhaust all internal routes. He will need to appeal the decision internally in the company before taking legal action. After appealing to the company, he should be eligible to </w:t>
      </w:r>
      <w:r w:rsidR="00C941D9" w:rsidRPr="00C941D9">
        <w:rPr>
          <w:b/>
          <w:bCs/>
        </w:rPr>
        <w:t>Redress</w:t>
      </w:r>
      <w:r w:rsidR="00C941D9">
        <w:t xml:space="preserve">, according to </w:t>
      </w:r>
      <w:r w:rsidR="00C941D9">
        <w:rPr>
          <w:b/>
          <w:bCs/>
        </w:rPr>
        <w:t>Clause 7</w:t>
      </w:r>
      <w:r w:rsidR="00C941D9">
        <w:t xml:space="preserve"> of the same act. The redress is subject to what the </w:t>
      </w:r>
      <w:r w:rsidR="00C941D9">
        <w:rPr>
          <w:b/>
          <w:bCs/>
        </w:rPr>
        <w:t>Labour Court</w:t>
      </w:r>
      <w:r w:rsidR="00C941D9">
        <w:t xml:space="preserve"> believe is appropriate in this situation. </w:t>
      </w:r>
    </w:p>
    <w:p w14:paraId="3C5428CD" w14:textId="0A585053" w:rsidR="000A464D" w:rsidRDefault="00C941D9" w:rsidP="000A464D">
      <w:pPr>
        <w:ind w:left="360"/>
        <w:rPr>
          <w:i/>
          <w:iCs/>
        </w:rPr>
      </w:pPr>
      <w:r>
        <w:lastRenderedPageBreak/>
        <w:t xml:space="preserve">His case could be subject to reinstatement by the employer in the position held immediately before the unfair dismissal, compensation due to the losses caused by the unfair dismissal or 4-week </w:t>
      </w:r>
      <w:r w:rsidRPr="00C941D9">
        <w:rPr>
          <w:b/>
          <w:bCs/>
        </w:rPr>
        <w:t>renumeration</w:t>
      </w:r>
      <w:r>
        <w:t xml:space="preserve"> if no such financial loss was incurred by the employee.</w:t>
      </w:r>
      <w:r w:rsidR="005E0BDB">
        <w:t xml:space="preserve"> </w:t>
      </w:r>
      <w:sdt>
        <w:sdtPr>
          <w:id w:val="79111218"/>
          <w:citation/>
        </w:sdtPr>
        <w:sdtEndPr>
          <w:rPr>
            <w:i/>
            <w:iCs/>
          </w:rPr>
        </w:sdtEndPr>
        <w:sdtContent>
          <w:r w:rsidR="005E0BDB" w:rsidRPr="005E0BDB">
            <w:rPr>
              <w:i/>
              <w:iCs/>
            </w:rPr>
            <w:fldChar w:fldCharType="begin"/>
          </w:r>
          <w:r w:rsidR="005E0BDB" w:rsidRPr="005E0BDB">
            <w:rPr>
              <w:i/>
              <w:iCs/>
            </w:rPr>
            <w:instrText xml:space="preserve"> CITATION UnfairDis \l 2057 </w:instrText>
          </w:r>
          <w:r w:rsidR="005E0BDB" w:rsidRPr="005E0BDB">
            <w:rPr>
              <w:i/>
              <w:iCs/>
            </w:rPr>
            <w:fldChar w:fldCharType="separate"/>
          </w:r>
          <w:r w:rsidR="005E0BDB" w:rsidRPr="005E0BDB">
            <w:rPr>
              <w:i/>
              <w:iCs/>
              <w:noProof/>
            </w:rPr>
            <w:t>(LawReform.ie, 2016)</w:t>
          </w:r>
          <w:r w:rsidR="005E0BDB" w:rsidRPr="005E0BDB">
            <w:rPr>
              <w:i/>
              <w:iCs/>
            </w:rPr>
            <w:fldChar w:fldCharType="end"/>
          </w:r>
        </w:sdtContent>
      </w:sdt>
    </w:p>
    <w:p w14:paraId="790E264A" w14:textId="14C08E44" w:rsidR="005E0BDB" w:rsidRPr="00460BB6" w:rsidRDefault="005E0BDB" w:rsidP="000A464D">
      <w:pPr>
        <w:ind w:left="360"/>
        <w:rPr>
          <w:i/>
          <w:iCs/>
        </w:rPr>
      </w:pPr>
      <w:r>
        <w:t>Fiona’s story is similar, but the circumstances of her employment were quite different. Fiona also worked for the same company as Joseph, but as a sales assistant. All the terms of her contract</w:t>
      </w:r>
      <w:r w:rsidR="00212CE1">
        <w:t xml:space="preserve">, including renumeration, hours of work and the use of a contract were decided through a </w:t>
      </w:r>
      <w:r w:rsidR="00212CE1">
        <w:rPr>
          <w:b/>
          <w:bCs/>
        </w:rPr>
        <w:t>verbal agreement</w:t>
      </w:r>
      <w:r w:rsidR="00212CE1">
        <w:t xml:space="preserve">. Fiona was never provided with a written contract or a payslip in her time of employment. When the company started introducing cost-saving measures, the company removed her company vehicle and changed her hours of work. These </w:t>
      </w:r>
      <w:r w:rsidR="00212CE1">
        <w:rPr>
          <w:b/>
          <w:bCs/>
        </w:rPr>
        <w:t xml:space="preserve">unilateral </w:t>
      </w:r>
      <w:r w:rsidR="00212CE1">
        <w:t xml:space="preserve">changes to her contract were challenged by Fiona, work became unbearable as she refused to sign a written contract with changes to her contract. </w:t>
      </w:r>
      <w:r w:rsidR="00460BB6">
        <w:rPr>
          <w:i/>
          <w:iCs/>
        </w:rPr>
        <w:t>(Contract Law Presentation Slides, 2019)</w:t>
      </w:r>
    </w:p>
    <w:p w14:paraId="01B52B90" w14:textId="6369B395" w:rsidR="00C941D9" w:rsidRDefault="0042573F" w:rsidP="000A464D">
      <w:pPr>
        <w:ind w:left="360"/>
        <w:rPr>
          <w:i/>
          <w:iCs/>
        </w:rPr>
      </w:pPr>
      <w:r>
        <w:t xml:space="preserve">The </w:t>
      </w:r>
      <w:r>
        <w:rPr>
          <w:b/>
          <w:bCs/>
        </w:rPr>
        <w:t>Terms of Employment (Information) Act, 1994</w:t>
      </w:r>
      <w:r>
        <w:t xml:space="preserve"> is breached by Fiona’s employers in this scenario. The Act states that </w:t>
      </w:r>
      <w:r w:rsidRPr="0042573F">
        <w:t>provides that an employer must issue its employees with a written statement of terms and conditions relating to their employment within two months of commencing employment.</w:t>
      </w:r>
      <w:r>
        <w:t xml:space="preserve"> As Fiona was only ever issued with a verbal agreement of her terms and conditions of employment, Fiona is able to bring the case to the </w:t>
      </w:r>
      <w:r>
        <w:rPr>
          <w:b/>
          <w:bCs/>
        </w:rPr>
        <w:t>Workplace Relations Commission (WRC)</w:t>
      </w:r>
      <w:r>
        <w:t xml:space="preserve">. The maximum amount that can be awarded to the employee is 4 weeks’ remuneration. </w:t>
      </w:r>
      <w:sdt>
        <w:sdtPr>
          <w:rPr>
            <w:i/>
            <w:iCs/>
          </w:rPr>
          <w:id w:val="1130519955"/>
          <w:citation/>
        </w:sdtPr>
        <w:sdtEndPr/>
        <w:sdtContent>
          <w:r w:rsidR="0073523D" w:rsidRPr="0073523D">
            <w:rPr>
              <w:i/>
              <w:iCs/>
            </w:rPr>
            <w:fldChar w:fldCharType="begin"/>
          </w:r>
          <w:r w:rsidR="0073523D" w:rsidRPr="0073523D">
            <w:rPr>
              <w:i/>
              <w:iCs/>
            </w:rPr>
            <w:instrText xml:space="preserve"> CITATION emp17 \l 2057 </w:instrText>
          </w:r>
          <w:r w:rsidR="0073523D" w:rsidRPr="0073523D">
            <w:rPr>
              <w:i/>
              <w:iCs/>
            </w:rPr>
            <w:fldChar w:fldCharType="separate"/>
          </w:r>
          <w:r w:rsidR="0073523D" w:rsidRPr="0073523D">
            <w:rPr>
              <w:i/>
              <w:iCs/>
              <w:noProof/>
            </w:rPr>
            <w:t>(employmentrightsireland.com, 2017)</w:t>
          </w:r>
          <w:r w:rsidR="0073523D" w:rsidRPr="0073523D">
            <w:rPr>
              <w:i/>
              <w:iCs/>
            </w:rPr>
            <w:fldChar w:fldCharType="end"/>
          </w:r>
        </w:sdtContent>
      </w:sdt>
    </w:p>
    <w:p w14:paraId="691B33FE" w14:textId="6EE7DBE8" w:rsidR="0073523D" w:rsidRDefault="0073523D" w:rsidP="000A464D">
      <w:pPr>
        <w:ind w:left="360"/>
      </w:pPr>
      <w:r>
        <w:t xml:space="preserve">The unilateral changes to Fiona’s contract leave this company open to a claim by Fiona through the Labour Courts. The agreement can be express, implied or by acquiescence, but cannot be changed unilaterally. There is also a chance that the pressure to sign a written contract including the new changes can be seen as </w:t>
      </w:r>
      <w:r>
        <w:rPr>
          <w:b/>
          <w:bCs/>
        </w:rPr>
        <w:t>Duress,</w:t>
      </w:r>
      <w:r>
        <w:t xml:space="preserve"> which would make this contract void for the employer. </w:t>
      </w:r>
    </w:p>
    <w:p w14:paraId="4FEC470B" w14:textId="23B8B180" w:rsidR="0073523D" w:rsidRDefault="0073523D" w:rsidP="000A464D">
      <w:pPr>
        <w:ind w:left="360"/>
      </w:pPr>
      <w:r>
        <w:t>If Fiona decides to make a claim, she must exhaust all internal routes</w:t>
      </w:r>
      <w:r w:rsidR="0051527F">
        <w:t xml:space="preserve">, not unlike Joseph. If this is not resolved, she is free to bring this case to the Labour courts, where she may be subject to reinstatement by the employer in the position held immediately before the unfair dismissal, compensation due to the losses caused by the unfair dismissal or 4-week </w:t>
      </w:r>
      <w:r w:rsidR="0051527F" w:rsidRPr="00C941D9">
        <w:rPr>
          <w:b/>
          <w:bCs/>
        </w:rPr>
        <w:t>renumeration</w:t>
      </w:r>
      <w:r w:rsidR="0051527F">
        <w:t xml:space="preserve"> if no such financial loss was incurred by the employee.</w:t>
      </w:r>
    </w:p>
    <w:p w14:paraId="64474FB0" w14:textId="1EC9049B" w:rsidR="0051527F" w:rsidRDefault="0051527F" w:rsidP="000A464D">
      <w:pPr>
        <w:ind w:left="360"/>
      </w:pPr>
    </w:p>
    <w:sdt>
      <w:sdtPr>
        <w:rPr>
          <w:rFonts w:asciiTheme="minorHAnsi" w:eastAsiaTheme="minorHAnsi" w:hAnsiTheme="minorHAnsi" w:cstheme="minorBidi"/>
          <w:color w:val="auto"/>
          <w:sz w:val="22"/>
          <w:szCs w:val="22"/>
          <w:lang w:val="en-GB"/>
        </w:rPr>
        <w:id w:val="1674831013"/>
        <w:docPartObj>
          <w:docPartGallery w:val="Bibliographies"/>
          <w:docPartUnique/>
        </w:docPartObj>
      </w:sdtPr>
      <w:sdtEndPr>
        <w:rPr>
          <w:b/>
          <w:bCs/>
        </w:rPr>
      </w:sdtEndPr>
      <w:sdtContent>
        <w:p w14:paraId="4A540953" w14:textId="13D6F071" w:rsidR="0051527F" w:rsidRDefault="0051527F">
          <w:pPr>
            <w:pStyle w:val="Heading1"/>
          </w:pPr>
          <w:r>
            <w:t>Works Cited</w:t>
          </w:r>
        </w:p>
        <w:p w14:paraId="07DB6B22" w14:textId="4BAAF559" w:rsidR="0051527F" w:rsidRPr="0051527F" w:rsidRDefault="0051527F" w:rsidP="0051527F">
          <w:pPr>
            <w:pStyle w:val="Bibliography"/>
            <w:spacing w:after="0" w:line="240" w:lineRule="auto"/>
            <w:rPr>
              <w:rFonts w:cstheme="minorHAnsi"/>
              <w:color w:val="000000"/>
              <w:shd w:val="clear" w:color="auto" w:fill="FFFFFF"/>
            </w:rPr>
          </w:pPr>
          <w:r w:rsidRPr="0051527F">
            <w:rPr>
              <w:rFonts w:cstheme="minorHAnsi"/>
              <w:i/>
              <w:iCs/>
              <w:color w:val="000000"/>
              <w:shd w:val="clear" w:color="auto" w:fill="FFFFFF"/>
            </w:rPr>
            <w:t>Bunreacht na hÉireann</w:t>
          </w:r>
          <w:r w:rsidRPr="0051527F">
            <w:rPr>
              <w:rFonts w:cstheme="minorHAnsi"/>
              <w:color w:val="000000"/>
              <w:shd w:val="clear" w:color="auto" w:fill="FFFFFF"/>
            </w:rPr>
            <w:t xml:space="preserve"> Section 31, 1937</w:t>
          </w:r>
        </w:p>
        <w:p w14:paraId="78933AFC" w14:textId="3A1E80B3" w:rsidR="0051527F" w:rsidRDefault="0051527F" w:rsidP="0051527F">
          <w:pPr>
            <w:spacing w:after="0" w:line="240" w:lineRule="auto"/>
            <w:rPr>
              <w:rFonts w:cstheme="minorHAnsi"/>
            </w:rPr>
          </w:pPr>
          <w:r w:rsidRPr="0051527F">
            <w:rPr>
              <w:rFonts w:cstheme="minorHAnsi"/>
            </w:rPr>
            <w:t>[Accessed 27 February 2020]</w:t>
          </w:r>
        </w:p>
        <w:p w14:paraId="3F3C1D22" w14:textId="00366D7C" w:rsidR="00460BB6" w:rsidRDefault="00460BB6" w:rsidP="0051527F">
          <w:pPr>
            <w:spacing w:after="0" w:line="240" w:lineRule="auto"/>
            <w:rPr>
              <w:rFonts w:cstheme="minorHAnsi"/>
            </w:rPr>
          </w:pPr>
        </w:p>
        <w:p w14:paraId="4312D024" w14:textId="1E65F7B7" w:rsidR="00460BB6" w:rsidRDefault="00460BB6" w:rsidP="0051527F">
          <w:pPr>
            <w:spacing w:after="0" w:line="240" w:lineRule="auto"/>
            <w:rPr>
              <w:rFonts w:cstheme="minorHAnsi"/>
            </w:rPr>
          </w:pPr>
          <w:r>
            <w:rPr>
              <w:rFonts w:cstheme="minorHAnsi"/>
            </w:rPr>
            <w:t>Contract Law, 2019. [Student Drive]</w:t>
          </w:r>
        </w:p>
        <w:p w14:paraId="48DCF674" w14:textId="5EFE07F2" w:rsidR="00460BB6" w:rsidRPr="0051527F" w:rsidRDefault="00460BB6" w:rsidP="0051527F">
          <w:pPr>
            <w:spacing w:after="0" w:line="240" w:lineRule="auto"/>
            <w:rPr>
              <w:rFonts w:cstheme="minorHAnsi"/>
            </w:rPr>
          </w:pPr>
          <w:r>
            <w:rPr>
              <w:rFonts w:cstheme="minorHAnsi"/>
            </w:rPr>
            <w:t>[Accessed 27 February 2020]</w:t>
          </w:r>
          <w:bookmarkStart w:id="0" w:name="_GoBack"/>
          <w:bookmarkEnd w:id="0"/>
        </w:p>
        <w:p w14:paraId="03175C15" w14:textId="77777777" w:rsidR="0051527F" w:rsidRPr="0051527F" w:rsidRDefault="0051527F" w:rsidP="0051527F">
          <w:pPr>
            <w:spacing w:after="0" w:line="240" w:lineRule="auto"/>
          </w:pPr>
        </w:p>
        <w:p w14:paraId="3C70F82F" w14:textId="46DF8418" w:rsidR="0051527F" w:rsidRDefault="0051527F" w:rsidP="0051527F">
          <w:pPr>
            <w:pStyle w:val="Bibliography"/>
            <w:rPr>
              <w:noProof/>
              <w:sz w:val="24"/>
              <w:szCs w:val="24"/>
              <w:lang w:val="en-US"/>
            </w:rPr>
          </w:pPr>
          <w:r>
            <w:fldChar w:fldCharType="begin"/>
          </w:r>
          <w:r>
            <w:instrText xml:space="preserve"> BIBLIOGRAPHY </w:instrText>
          </w:r>
          <w:r>
            <w:fldChar w:fldCharType="separate"/>
          </w:r>
          <w:r>
            <w:rPr>
              <w:noProof/>
              <w:lang w:val="en-US"/>
            </w:rPr>
            <w:t xml:space="preserve">employementrightsireland.com, 2015. </w:t>
          </w:r>
          <w:r>
            <w:rPr>
              <w:i/>
              <w:iCs/>
              <w:noProof/>
              <w:lang w:val="en-US"/>
            </w:rPr>
            <w:t xml:space="preserve">Fair Procedure Ireland. </w:t>
          </w:r>
          <w:r>
            <w:rPr>
              <w:noProof/>
              <w:lang w:val="en-US"/>
            </w:rPr>
            <w:t xml:space="preserve">[Online] </w:t>
          </w:r>
          <w:r>
            <w:rPr>
              <w:noProof/>
              <w:lang w:val="en-US"/>
            </w:rPr>
            <w:br/>
            <w:t xml:space="preserve">Available at: </w:t>
          </w:r>
          <w:r>
            <w:rPr>
              <w:noProof/>
              <w:u w:val="single"/>
              <w:lang w:val="en-US"/>
            </w:rPr>
            <w:t>https://employmentrightsireland.com/tag/fair-procedure/</w:t>
          </w:r>
          <w:r>
            <w:rPr>
              <w:noProof/>
              <w:lang w:val="en-US"/>
            </w:rPr>
            <w:br/>
            <w:t>[Accessed 27 February 2020].</w:t>
          </w:r>
        </w:p>
        <w:p w14:paraId="54EDF904" w14:textId="77777777" w:rsidR="0051527F" w:rsidRDefault="0051527F" w:rsidP="0051527F">
          <w:pPr>
            <w:pStyle w:val="Bibliography"/>
            <w:rPr>
              <w:noProof/>
              <w:lang w:val="en-US"/>
            </w:rPr>
          </w:pPr>
          <w:r>
            <w:rPr>
              <w:noProof/>
              <w:lang w:val="en-US"/>
            </w:rPr>
            <w:t xml:space="preserve">employmentrightsireland.com, 2017. </w:t>
          </w:r>
          <w:r>
            <w:rPr>
              <w:i/>
              <w:iCs/>
              <w:noProof/>
              <w:lang w:val="en-US"/>
            </w:rPr>
            <w:t xml:space="preserve">The Terms of Employment (Infomation) Act, 1994. </w:t>
          </w:r>
          <w:r>
            <w:rPr>
              <w:noProof/>
              <w:lang w:val="en-US"/>
            </w:rPr>
            <w:t xml:space="preserve">[Online] </w:t>
          </w:r>
          <w:r>
            <w:rPr>
              <w:noProof/>
              <w:lang w:val="en-US"/>
            </w:rPr>
            <w:br/>
            <w:t xml:space="preserve">Available at: </w:t>
          </w:r>
          <w:r>
            <w:rPr>
              <w:noProof/>
              <w:u w:val="single"/>
              <w:lang w:val="en-US"/>
            </w:rPr>
            <w:t>https://employmentrightsireland.com/the-terms-of-employment-information-act-1994-what-employers-and-employees-should-know/</w:t>
          </w:r>
          <w:r>
            <w:rPr>
              <w:noProof/>
              <w:lang w:val="en-US"/>
            </w:rPr>
            <w:br/>
            <w:t>[Accessed 27 February 2020].</w:t>
          </w:r>
        </w:p>
        <w:p w14:paraId="4876F568" w14:textId="77777777" w:rsidR="0051527F" w:rsidRDefault="0051527F" w:rsidP="0051527F">
          <w:pPr>
            <w:pStyle w:val="Bibliography"/>
            <w:rPr>
              <w:noProof/>
              <w:lang w:val="en-US"/>
            </w:rPr>
          </w:pPr>
          <w:r>
            <w:rPr>
              <w:noProof/>
              <w:lang w:val="en-US"/>
            </w:rPr>
            <w:t xml:space="preserve">LawReform.ie, 2016. </w:t>
          </w:r>
          <w:r>
            <w:rPr>
              <w:i/>
              <w:iCs/>
              <w:noProof/>
              <w:lang w:val="en-US"/>
            </w:rPr>
            <w:t xml:space="preserve">Unfair Dismissals Act 1977. </w:t>
          </w:r>
          <w:r>
            <w:rPr>
              <w:noProof/>
              <w:lang w:val="en-US"/>
            </w:rPr>
            <w:t xml:space="preserve">[Online] </w:t>
          </w:r>
          <w:r>
            <w:rPr>
              <w:noProof/>
              <w:lang w:val="en-US"/>
            </w:rPr>
            <w:br/>
            <w:t xml:space="preserve">Available at: </w:t>
          </w:r>
          <w:r>
            <w:rPr>
              <w:noProof/>
              <w:u w:val="single"/>
              <w:lang w:val="en-US"/>
            </w:rPr>
            <w:lastRenderedPageBreak/>
            <w:t>https://www.lawreform.ie/_fileupload/RevisedActs/WithAnnotations/HTML/EN_ACT_1977_0010.htm#SEC7</w:t>
          </w:r>
          <w:r>
            <w:rPr>
              <w:noProof/>
              <w:lang w:val="en-US"/>
            </w:rPr>
            <w:br/>
            <w:t>[Accessed 27 February 2020].</w:t>
          </w:r>
        </w:p>
        <w:p w14:paraId="14F68F98" w14:textId="60F6308C" w:rsidR="0051527F" w:rsidRDefault="0051527F" w:rsidP="0051527F">
          <w:r>
            <w:rPr>
              <w:b/>
              <w:bCs/>
            </w:rPr>
            <w:fldChar w:fldCharType="end"/>
          </w:r>
        </w:p>
      </w:sdtContent>
    </w:sdt>
    <w:p w14:paraId="20C276D7" w14:textId="77777777" w:rsidR="0051527F" w:rsidRPr="0073523D" w:rsidRDefault="0051527F" w:rsidP="000A464D">
      <w:pPr>
        <w:ind w:left="360"/>
        <w:rPr>
          <w:u w:val="single"/>
        </w:rPr>
      </w:pPr>
    </w:p>
    <w:p w14:paraId="1817CA59" w14:textId="77777777" w:rsidR="0073523D" w:rsidRPr="0073523D" w:rsidRDefault="0073523D" w:rsidP="000A464D">
      <w:pPr>
        <w:ind w:left="360"/>
        <w:rPr>
          <w:u w:val="single"/>
        </w:rPr>
      </w:pPr>
    </w:p>
    <w:p w14:paraId="421F504F" w14:textId="77777777" w:rsidR="00C941D9" w:rsidRPr="0073523D" w:rsidRDefault="00C941D9" w:rsidP="000A464D">
      <w:pPr>
        <w:ind w:left="360"/>
        <w:rPr>
          <w:i/>
          <w:iCs/>
          <w:u w:val="single"/>
        </w:rPr>
      </w:pPr>
    </w:p>
    <w:p w14:paraId="02D3CC9E" w14:textId="77777777" w:rsidR="00EC2B2E" w:rsidRPr="00B01CE5" w:rsidRDefault="00EC2B2E" w:rsidP="000A464D">
      <w:pPr>
        <w:spacing w:before="240"/>
        <w:ind w:left="360"/>
      </w:pPr>
    </w:p>
    <w:sectPr w:rsidR="00EC2B2E" w:rsidRPr="00B01CE5" w:rsidSect="0051527F">
      <w:pgSz w:w="11906" w:h="16838"/>
      <w:pgMar w:top="1247"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590FD8"/>
    <w:multiLevelType w:val="hybridMultilevel"/>
    <w:tmpl w:val="228A9516"/>
    <w:lvl w:ilvl="0" w:tplc="7BD2A1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65"/>
    <w:rsid w:val="000A464D"/>
    <w:rsid w:val="00171665"/>
    <w:rsid w:val="001B78E3"/>
    <w:rsid w:val="00212CE1"/>
    <w:rsid w:val="00306FA9"/>
    <w:rsid w:val="0035167E"/>
    <w:rsid w:val="003A1D58"/>
    <w:rsid w:val="003C77EE"/>
    <w:rsid w:val="0042573F"/>
    <w:rsid w:val="00460BB6"/>
    <w:rsid w:val="004C10B7"/>
    <w:rsid w:val="0051527F"/>
    <w:rsid w:val="00534F8C"/>
    <w:rsid w:val="00544359"/>
    <w:rsid w:val="005610E5"/>
    <w:rsid w:val="005E0BDB"/>
    <w:rsid w:val="00631DB1"/>
    <w:rsid w:val="00634095"/>
    <w:rsid w:val="006C4FBA"/>
    <w:rsid w:val="0073523D"/>
    <w:rsid w:val="00745490"/>
    <w:rsid w:val="008A16B0"/>
    <w:rsid w:val="008B4F30"/>
    <w:rsid w:val="008E7FA9"/>
    <w:rsid w:val="00A14A3A"/>
    <w:rsid w:val="00AD0406"/>
    <w:rsid w:val="00AD4379"/>
    <w:rsid w:val="00B01CE5"/>
    <w:rsid w:val="00C941D9"/>
    <w:rsid w:val="00DE0CF5"/>
    <w:rsid w:val="00EC2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6A61"/>
  <w15:chartTrackingRefBased/>
  <w15:docId w15:val="{2B0E822C-7EF4-48A6-A646-306A7F88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27F"/>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406"/>
    <w:pPr>
      <w:ind w:left="720"/>
      <w:contextualSpacing/>
    </w:pPr>
  </w:style>
  <w:style w:type="paragraph" w:styleId="Bibliography">
    <w:name w:val="Bibliography"/>
    <w:basedOn w:val="Normal"/>
    <w:next w:val="Normal"/>
    <w:uiPriority w:val="37"/>
    <w:unhideWhenUsed/>
    <w:rsid w:val="0051527F"/>
  </w:style>
  <w:style w:type="character" w:customStyle="1" w:styleId="Heading1Char">
    <w:name w:val="Heading 1 Char"/>
    <w:basedOn w:val="DefaultParagraphFont"/>
    <w:link w:val="Heading1"/>
    <w:uiPriority w:val="9"/>
    <w:rsid w:val="0051527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1317">
      <w:bodyDiv w:val="1"/>
      <w:marLeft w:val="0"/>
      <w:marRight w:val="0"/>
      <w:marTop w:val="0"/>
      <w:marBottom w:val="0"/>
      <w:divBdr>
        <w:top w:val="none" w:sz="0" w:space="0" w:color="auto"/>
        <w:left w:val="none" w:sz="0" w:space="0" w:color="auto"/>
        <w:bottom w:val="none" w:sz="0" w:space="0" w:color="auto"/>
        <w:right w:val="none" w:sz="0" w:space="0" w:color="auto"/>
      </w:divBdr>
    </w:div>
    <w:div w:id="829758111">
      <w:bodyDiv w:val="1"/>
      <w:marLeft w:val="0"/>
      <w:marRight w:val="0"/>
      <w:marTop w:val="0"/>
      <w:marBottom w:val="0"/>
      <w:divBdr>
        <w:top w:val="none" w:sz="0" w:space="0" w:color="auto"/>
        <w:left w:val="none" w:sz="0" w:space="0" w:color="auto"/>
        <w:bottom w:val="none" w:sz="0" w:space="0" w:color="auto"/>
        <w:right w:val="none" w:sz="0" w:space="0" w:color="auto"/>
      </w:divBdr>
    </w:div>
    <w:div w:id="1374579377">
      <w:bodyDiv w:val="1"/>
      <w:marLeft w:val="0"/>
      <w:marRight w:val="0"/>
      <w:marTop w:val="0"/>
      <w:marBottom w:val="0"/>
      <w:divBdr>
        <w:top w:val="none" w:sz="0" w:space="0" w:color="auto"/>
        <w:left w:val="none" w:sz="0" w:space="0" w:color="auto"/>
        <w:bottom w:val="none" w:sz="0" w:space="0" w:color="auto"/>
        <w:right w:val="none" w:sz="0" w:space="0" w:color="auto"/>
      </w:divBdr>
    </w:div>
    <w:div w:id="1521895478">
      <w:bodyDiv w:val="1"/>
      <w:marLeft w:val="0"/>
      <w:marRight w:val="0"/>
      <w:marTop w:val="0"/>
      <w:marBottom w:val="0"/>
      <w:divBdr>
        <w:top w:val="none" w:sz="0" w:space="0" w:color="auto"/>
        <w:left w:val="none" w:sz="0" w:space="0" w:color="auto"/>
        <w:bottom w:val="none" w:sz="0" w:space="0" w:color="auto"/>
        <w:right w:val="none" w:sz="0" w:space="0" w:color="auto"/>
      </w:divBdr>
    </w:div>
    <w:div w:id="1613054827">
      <w:bodyDiv w:val="1"/>
      <w:marLeft w:val="0"/>
      <w:marRight w:val="0"/>
      <w:marTop w:val="0"/>
      <w:marBottom w:val="0"/>
      <w:divBdr>
        <w:top w:val="none" w:sz="0" w:space="0" w:color="auto"/>
        <w:left w:val="none" w:sz="0" w:space="0" w:color="auto"/>
        <w:bottom w:val="none" w:sz="0" w:space="0" w:color="auto"/>
        <w:right w:val="none" w:sz="0" w:space="0" w:color="auto"/>
      </w:divBdr>
    </w:div>
    <w:div w:id="206976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8FC2779AD8CF48BB40BD5EE3A8AEE7" ma:contentTypeVersion="4" ma:contentTypeDescription="Create a new document." ma:contentTypeScope="" ma:versionID="ae3f99487bf42f28b4d213a249f65fdd">
  <xsd:schema xmlns:xsd="http://www.w3.org/2001/XMLSchema" xmlns:xs="http://www.w3.org/2001/XMLSchema" xmlns:p="http://schemas.microsoft.com/office/2006/metadata/properties" xmlns:ns3="157c8960-edd7-4fc5-b7dc-cebc304f35fd" targetNamespace="http://schemas.microsoft.com/office/2006/metadata/properties" ma:root="true" ma:fieldsID="e6faf0b8f3285626299ab4307d1f6ab0" ns3:_="">
    <xsd:import namespace="157c8960-edd7-4fc5-b7dc-cebc304f35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c8960-edd7-4fc5-b7dc-cebc304f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b:Tag>UnfairDis</b:Tag>
    <b:SourceType>InternetSite</b:SourceType>
    <b:Guid>{FEADCD27-9870-49FE-9653-47E40C2CEC26}</b:Guid>
    <b:Author>
      <b:Author>
        <b:Corporate>LawReform.ie</b:Corporate>
      </b:Author>
    </b:Author>
    <b:Title>Unfair Dismissals Act 1977</b:Title>
    <b:Year>2016</b:Year>
    <b:YearAccessed>2020</b:YearAccessed>
    <b:MonthAccessed>February</b:MonthAccessed>
    <b:DayAccessed>27</b:DayAccessed>
    <b:URL>https://www.lawreform.ie/_fileupload/RevisedActs/WithAnnotations/HTML/EN_ACT_1977_0010.htm#SEC7</b:URL>
    <b:RefOrder>2</b:RefOrder>
  </b:Source>
  <b:Source>
    <b:Tag>FairPra</b:Tag>
    <b:SourceType>InternetSite</b:SourceType>
    <b:Guid>{A015CBEC-3F76-4874-8FD6-B3099E7C5422}</b:Guid>
    <b:Author>
      <b:Author>
        <b:Corporate>employementrightsireland.com</b:Corporate>
      </b:Author>
    </b:Author>
    <b:Title>Fair Procedure Ireland</b:Title>
    <b:Year>2015</b:Year>
    <b:YearAccessed>2020</b:YearAccessed>
    <b:MonthAccessed>February</b:MonthAccessed>
    <b:DayAccessed>27</b:DayAccessed>
    <b:URL>https://employmentrightsireland.com/tag/fair-procedure/</b:URL>
    <b:RefOrder>1</b:RefOrder>
  </b:Source>
  <b:Source>
    <b:Tag>emp17</b:Tag>
    <b:SourceType>InternetSite</b:SourceType>
    <b:Guid>{656F305B-4CA0-4346-BA6B-57831310D5D0}</b:Guid>
    <b:Author>
      <b:Author>
        <b:Corporate>employmentrightsireland.com</b:Corporate>
      </b:Author>
    </b:Author>
    <b:Title>The Terms of Employment (Infomation) Act, 1994</b:Title>
    <b:Year>2017</b:Year>
    <b:YearAccessed>2020</b:YearAccessed>
    <b:MonthAccessed>February</b:MonthAccessed>
    <b:DayAccessed>27</b:DayAccessed>
    <b:URL>https://employmentrightsireland.com/the-terms-of-employment-information-act-1994-what-employers-and-employees-should-know/</b:URL>
    <b:RefOrder>3</b:RefOrder>
  </b:Source>
</b:Sources>
</file>

<file path=customXml/itemProps1.xml><?xml version="1.0" encoding="utf-8"?>
<ds:datastoreItem xmlns:ds="http://schemas.openxmlformats.org/officeDocument/2006/customXml" ds:itemID="{AD1E55B0-F19C-4820-A1D0-8D88DFB1B7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72402F-4068-4FA0-A6B3-1B8D5F452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c8960-edd7-4fc5-b7dc-cebc304f3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9D2620-DC0A-4487-BA6D-CA334BFCD94B}">
  <ds:schemaRefs>
    <ds:schemaRef ds:uri="http://schemas.microsoft.com/sharepoint/v3/contenttype/forms"/>
  </ds:schemaRefs>
</ds:datastoreItem>
</file>

<file path=customXml/itemProps4.xml><?xml version="1.0" encoding="utf-8"?>
<ds:datastoreItem xmlns:ds="http://schemas.openxmlformats.org/officeDocument/2006/customXml" ds:itemID="{C83E9E95-76A5-43EF-B362-5881D3C2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4</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Bishop</dc:creator>
  <cp:keywords/>
  <dc:description/>
  <cp:lastModifiedBy>Luke Bishop</cp:lastModifiedBy>
  <cp:revision>3</cp:revision>
  <dcterms:created xsi:type="dcterms:W3CDTF">2020-02-26T20:04:00Z</dcterms:created>
  <dcterms:modified xsi:type="dcterms:W3CDTF">2020-02-28T13:00:00Z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0x0101005B8FC2779AD8CF48BB40BD5EE3A8AEE7</vt:lpwstr>
  </property>
</Properties>
</file>